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MINUTA DE TERMO DE CONTRATO DE SERVIÇOS</w:t>
      </w:r>
      <w:bookmarkEnd w:id="0"/>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1.826/2026</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90.033/2026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bookmarkStart w:id="3" w:name="_Hlk184978088"/>
      <w:r>
        <w:rPr>
          <w:rFonts w:hint="default" w:ascii="Arial" w:hAnsi="Arial" w:cs="Arial"/>
          <w:b/>
          <w:bCs w:val="0"/>
          <w:iCs/>
        </w:rPr>
        <w:t>CONTRATAÇÃO DE EMPRESA ESPECIALIZADA PARA A OPERAÇÃO TÉCNICA E MANUTENÇÃO INTEGRAL (PREVENTIVA E CORRETIVA), COM FORNECIMENTO DE MÃO DE OBRA QUALIFICADA, PEÇAS, MATERIAIS E INSUMOS, DA USINA DE ASFALTO À QUENTE DA PMNF</w:t>
      </w:r>
      <w:r>
        <w:rPr>
          <w:rFonts w:hint="default" w:ascii="Arial" w:hAnsi="Arial" w:cs="Arial"/>
          <w:b/>
          <w:bCs w:val="0"/>
          <w:iCs/>
          <w:lang w:val="pt-BR"/>
        </w:rPr>
        <w:t xml:space="preserve"> (</w:t>
      </w:r>
      <w:r>
        <w:rPr>
          <w:rFonts w:hint="default" w:ascii="Arial" w:hAnsi="Arial" w:cs="Arial"/>
          <w:b/>
          <w:bCs w:val="0"/>
          <w:iCs/>
        </w:rPr>
        <w:t>LOCALIZAD</w:t>
      </w:r>
      <w:r>
        <w:rPr>
          <w:rFonts w:hint="default" w:ascii="Arial" w:hAnsi="Arial" w:cs="Arial"/>
          <w:b/>
          <w:bCs w:val="0"/>
          <w:iCs/>
          <w:lang w:val="pt-BR"/>
        </w:rPr>
        <w:t>A</w:t>
      </w:r>
      <w:r>
        <w:rPr>
          <w:rFonts w:hint="default" w:ascii="Arial" w:hAnsi="Arial" w:cs="Arial"/>
          <w:b/>
          <w:bCs w:val="0"/>
          <w:iCs/>
        </w:rPr>
        <w:t xml:space="preserve"> NO ALTO DA CHÁCARA DO PARAÍSO, NO KM 2,0 DA RJ-150 </w:t>
      </w:r>
      <w:r>
        <w:rPr>
          <w:rFonts w:hint="default" w:ascii="Arial" w:hAnsi="Arial" w:cs="Arial"/>
          <w:b/>
          <w:bCs w:val="0"/>
          <w:iCs/>
          <w:lang w:val="pt-BR"/>
        </w:rPr>
        <w:t xml:space="preserve">- </w:t>
      </w:r>
      <w:r>
        <w:rPr>
          <w:rFonts w:hint="default" w:ascii="Arial" w:hAnsi="Arial" w:cs="Arial"/>
          <w:b/>
          <w:bCs w:val="0"/>
          <w:iCs/>
        </w:rPr>
        <w:t>ESTRADA DE AMPARO - NOVA FRIBURGO/RJ</w:t>
      </w:r>
      <w:r>
        <w:rPr>
          <w:rFonts w:hint="default" w:ascii="Arial" w:hAnsi="Arial" w:cs="Arial"/>
          <w:b/>
          <w:bCs w:val="0"/>
          <w:iCs/>
          <w:lang w:val="pt-BR"/>
        </w:rPr>
        <w:t>)</w:t>
      </w:r>
      <w:r>
        <w:rPr>
          <w:rFonts w:hint="default" w:ascii="Arial" w:hAnsi="Arial" w:cs="Arial"/>
          <w:b/>
          <w:bCs w:val="0"/>
          <w:iCs/>
        </w:rPr>
        <w:t xml:space="preserve">, PARA ATENDER AS NECESSIDADES DA SECRETARIA DE </w:t>
      </w:r>
      <w:r>
        <w:rPr>
          <w:rFonts w:hint="default" w:ascii="Arial" w:hAnsi="Arial" w:cs="Arial"/>
          <w:b/>
          <w:bCs w:val="0"/>
          <w:iCs/>
          <w:lang w:val="pt-BR"/>
        </w:rPr>
        <w:t>INFRAESTRUTURA E OBRAS</w:t>
      </w:r>
      <w:r>
        <w:rPr>
          <w:rFonts w:hint="default" w:ascii="Arial" w:hAnsi="Arial" w:cs="Arial"/>
          <w:b/>
          <w:bCs w:val="0"/>
          <w:iCs/>
        </w:rPr>
        <w:t>,</w:t>
      </w:r>
      <w:bookmarkEnd w:id="3"/>
      <w:r>
        <w:rPr>
          <w:rFonts w:ascii="Arial" w:hAnsi="Arial" w:cs="Arial"/>
          <w:b/>
          <w:bCs w:val="0"/>
          <w:iCs/>
        </w:rPr>
        <w:t xml:space="preserve"> </w:t>
      </w:r>
      <w:r>
        <w:rPr>
          <w:rFonts w:ascii="Arial" w:hAnsi="Arial" w:cs="Arial"/>
          <w:bCs/>
          <w:iCs/>
        </w:rPr>
        <w:t>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auto"/>
        </w:rPr>
      </w:pPr>
      <w:r>
        <w:rPr>
          <w:rFonts w:ascii="Arial" w:hAnsi="Arial" w:cs="Arial"/>
          <w:bCs/>
          <w:iCs/>
          <w:color w:val="auto"/>
        </w:rPr>
        <w:t xml:space="preserve">- </w:t>
      </w:r>
      <w:r>
        <w:rPr>
          <w:rFonts w:ascii="Arial" w:hAnsi="Arial" w:cs="Arial"/>
          <w:bCs/>
          <w:i/>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
          <w:color w:val="auto"/>
        </w:rPr>
        <w:t>artigos 106 e 107 da Lei n° 14.133, de 2021</w:t>
      </w:r>
      <w:r>
        <w:rPr>
          <w:rFonts w:ascii="Arial" w:hAnsi="Arial" w:cs="Arial"/>
          <w:bCs/>
          <w:i/>
          <w:color w:val="auto"/>
        </w:rPr>
        <w:fldChar w:fldCharType="end"/>
      </w:r>
      <w:r>
        <w:rPr>
          <w:rFonts w:ascii="Arial" w:hAnsi="Arial" w:cs="Arial"/>
          <w:bCs/>
          <w:i/>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auto"/>
        </w:rPr>
      </w:pPr>
      <w:r>
        <w:rPr>
          <w:rFonts w:ascii="Arial" w:hAnsi="Arial" w:cs="Arial"/>
          <w:bCs/>
          <w:i/>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19"/>
        <w:widowControl/>
        <w:numPr>
          <w:ilvl w:val="2"/>
          <w:numId w:val="3"/>
        </w:numPr>
        <w:tabs>
          <w:tab w:val="left" w:pos="426"/>
        </w:tabs>
        <w:autoSpaceDE/>
        <w:autoSpaceDN/>
        <w:spacing w:before="120" w:after="120" w:line="276" w:lineRule="auto"/>
        <w:jc w:val="both"/>
        <w:rPr>
          <w:rFonts w:ascii="Arial" w:hAnsi="Arial" w:cs="Arial"/>
          <w:bCs/>
          <w:i/>
          <w:color w:val="auto"/>
        </w:rPr>
      </w:pPr>
      <w:r>
        <w:rPr>
          <w:rFonts w:ascii="Arial" w:hAnsi="Arial" w:cs="Arial"/>
          <w:bCs/>
          <w:i/>
          <w:color w:val="auto"/>
        </w:rPr>
        <w:t>Estar formalmente demonstrado no processo que a forma de prestação dos serviços tem natureza continuada;</w:t>
      </w:r>
    </w:p>
    <w:p>
      <w:pPr>
        <w:pStyle w:val="19"/>
        <w:widowControl/>
        <w:numPr>
          <w:ilvl w:val="2"/>
          <w:numId w:val="3"/>
        </w:numPr>
        <w:tabs>
          <w:tab w:val="left" w:pos="426"/>
        </w:tabs>
        <w:autoSpaceDE/>
        <w:autoSpaceDN/>
        <w:spacing w:before="120" w:after="120" w:line="276" w:lineRule="auto"/>
        <w:jc w:val="both"/>
        <w:rPr>
          <w:rFonts w:ascii="Arial" w:hAnsi="Arial" w:cs="Arial"/>
          <w:bCs/>
          <w:i/>
          <w:color w:val="auto"/>
        </w:rPr>
      </w:pPr>
      <w:r>
        <w:rPr>
          <w:rFonts w:ascii="Arial" w:hAnsi="Arial" w:cs="Arial"/>
          <w:bCs/>
          <w:i/>
          <w:color w:val="auto"/>
        </w:rPr>
        <w:t xml:space="preserve">Seja juntado relatório que discorra sobre a execução do contrato, com informações de que os serviços tenham sido prestados regularmente;  </w:t>
      </w:r>
    </w:p>
    <w:p>
      <w:pPr>
        <w:pStyle w:val="19"/>
        <w:widowControl/>
        <w:numPr>
          <w:ilvl w:val="2"/>
          <w:numId w:val="3"/>
        </w:numPr>
        <w:tabs>
          <w:tab w:val="left" w:pos="426"/>
        </w:tabs>
        <w:autoSpaceDE/>
        <w:autoSpaceDN/>
        <w:spacing w:before="120" w:after="120" w:line="276" w:lineRule="auto"/>
        <w:jc w:val="both"/>
        <w:rPr>
          <w:rFonts w:ascii="Arial" w:hAnsi="Arial" w:cs="Arial"/>
          <w:bCs/>
          <w:i/>
          <w:color w:val="auto"/>
        </w:rPr>
      </w:pPr>
      <w:r>
        <w:rPr>
          <w:rFonts w:ascii="Arial" w:hAnsi="Arial" w:cs="Arial"/>
          <w:bCs/>
          <w:i/>
          <w:color w:val="auto"/>
        </w:rPr>
        <w:t xml:space="preserve">Seja juntada justificativa e motivo, por escrito, de que a Administração mantém interesse na realização do serviço;  </w:t>
      </w:r>
    </w:p>
    <w:p>
      <w:pPr>
        <w:pStyle w:val="19"/>
        <w:widowControl/>
        <w:numPr>
          <w:ilvl w:val="2"/>
          <w:numId w:val="3"/>
        </w:numPr>
        <w:tabs>
          <w:tab w:val="left" w:pos="426"/>
        </w:tabs>
        <w:autoSpaceDE/>
        <w:autoSpaceDN/>
        <w:spacing w:before="120" w:after="120" w:line="276" w:lineRule="auto"/>
        <w:jc w:val="both"/>
        <w:rPr>
          <w:rFonts w:ascii="Arial" w:hAnsi="Arial" w:cs="Arial"/>
          <w:bCs/>
          <w:i/>
          <w:color w:val="auto"/>
        </w:rPr>
      </w:pPr>
      <w:r>
        <w:rPr>
          <w:rFonts w:ascii="Arial" w:hAnsi="Arial" w:cs="Arial"/>
          <w:bCs/>
          <w:i/>
          <w:color w:val="auto"/>
        </w:rPr>
        <w:t xml:space="preserve">Haja manifestação expressa do contratado informando o interesse na prorrogação; </w:t>
      </w:r>
    </w:p>
    <w:p>
      <w:pPr>
        <w:pStyle w:val="19"/>
        <w:widowControl/>
        <w:numPr>
          <w:ilvl w:val="2"/>
          <w:numId w:val="3"/>
        </w:numPr>
        <w:tabs>
          <w:tab w:val="left" w:pos="426"/>
        </w:tabs>
        <w:autoSpaceDE/>
        <w:autoSpaceDN/>
        <w:spacing w:before="120" w:after="120" w:line="276" w:lineRule="auto"/>
        <w:jc w:val="both"/>
        <w:rPr>
          <w:rFonts w:ascii="Arial" w:hAnsi="Arial" w:cs="Arial"/>
          <w:bCs/>
          <w:i/>
          <w:color w:val="auto"/>
        </w:rPr>
      </w:pPr>
      <w:r>
        <w:rPr>
          <w:rFonts w:ascii="Arial" w:hAnsi="Arial" w:cs="Arial"/>
          <w:bCs/>
          <w:i/>
          <w:color w:val="auto"/>
        </w:rPr>
        <w:t>Seja comprovado que o contratado mantém as condições iniciais de habilitação.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auto"/>
        </w:rPr>
      </w:pPr>
      <w:r>
        <w:rPr>
          <w:rFonts w:ascii="Arial" w:hAnsi="Arial" w:cs="Arial"/>
          <w:bCs/>
          <w:i/>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auto"/>
        </w:rPr>
      </w:pPr>
      <w:r>
        <w:rPr>
          <w:rFonts w:ascii="Arial" w:hAnsi="Arial" w:cs="Arial"/>
          <w:bCs/>
          <w:i/>
          <w:color w:val="auto"/>
        </w:rPr>
        <w:t>A prorrogação de contrato deverá ser promovida mediante celebração de termo aditivo.</w:t>
      </w:r>
    </w:p>
    <w:p>
      <w:pPr>
        <w:pStyle w:val="50"/>
        <w:numPr>
          <w:ilvl w:val="1"/>
          <w:numId w:val="3"/>
        </w:numPr>
        <w:rPr>
          <w:rFonts w:eastAsia="Verdana"/>
          <w:bCs/>
          <w:iCs w:val="0"/>
          <w:color w:val="auto"/>
          <w:sz w:val="22"/>
          <w:szCs w:val="22"/>
          <w:lang w:val="pt-PT" w:eastAsia="en-US"/>
        </w:rPr>
      </w:pPr>
      <w:r>
        <w:rPr>
          <w:rFonts w:eastAsia="Verdana"/>
          <w:bCs/>
          <w:iCs w:val="0"/>
          <w:color w:val="auto"/>
          <w:sz w:val="22"/>
          <w:szCs w:val="22"/>
          <w:lang w:val="pt-PT" w:eastAsia="en-US"/>
        </w:rPr>
        <w:t>Nas eventuais prorrogações contratuais, os custos não renováveis já pagos ou amortizados ao longo do primeiro período de vigência da contratação deverão ser reduzidos ou eliminados como condição para a renovação.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auto"/>
        </w:rPr>
      </w:pPr>
      <w:r>
        <w:rPr>
          <w:rFonts w:ascii="Arial" w:hAnsi="Arial" w:cs="Arial"/>
          <w:bCs/>
          <w:i/>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rPr>
      </w:pPr>
      <w:r>
        <w:rPr>
          <w:rFonts w:hint="default" w:ascii="Arial" w:hAnsi="Arial" w:cs="Arial"/>
          <w:bCs/>
          <w:iCs/>
          <w:lang w:val="pt-BR"/>
        </w:rPr>
        <w:t xml:space="preserve">3.1 </w:t>
      </w:r>
      <w:r>
        <w:rPr>
          <w:rFonts w:hint="default" w:ascii="Arial" w:hAnsi="Arial" w:cs="Arial"/>
          <w:bCs/>
          <w:iCs/>
          <w:u w:val="single"/>
        </w:rPr>
        <w:t>MODELO DE EXECUÇÃO DO OBJETO (arts. 6º, XXIII, alínea “e” e 40, §1º, inciso II, da Lei nº 14.133/2021)</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3.1.1 </w:t>
      </w:r>
      <w:r>
        <w:rPr>
          <w:rFonts w:hint="default" w:ascii="Arial" w:hAnsi="Arial" w:cs="Arial"/>
          <w:bCs/>
          <w:iCs/>
        </w:rPr>
        <w:t xml:space="preserve">A Contratada realizará intervenções programadas para mitigar falhas e garantir a longevidade do equipamento, seguindo estritamente o manual do fabricante .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rPr>
        <w:t xml:space="preserve">3.1.2 </w:t>
      </w:r>
      <w:r>
        <w:rPr>
          <w:rFonts w:hint="default" w:ascii="Arial" w:hAnsi="Arial" w:cs="Arial"/>
          <w:bCs/>
          <w:iCs/>
        </w:rPr>
        <w:t>As atividades incluem:</w:t>
      </w:r>
      <w:r>
        <w:rPr>
          <w:rFonts w:hint="default" w:ascii="Arial" w:hAnsi="Arial" w:cs="Arial"/>
          <w:bCs/>
          <w:iCs/>
          <w:lang w:val="pt-BR"/>
        </w:rPr>
        <w:t xml:space="preserv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3.1.2.1. Cronograma rigoroso de lubrificação de pinos graxeiros, correntes e elementos móveis. Monitoramento e substituição do óleo térmico do sistema de aquecimento de CAP para garantir a fluidez e temperatura ideal do ligante.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3.1.2.2.  Limpeza de contatos, calibração de sensores e verificação de quadros de comando para evitar paradas por falhas de sinal ou variação de tensão.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3.1.2.3. Inspeção e substituição periódica dos elementos filtrantes, garantindo a eficiência ambiental e o controle de emissão de particulados dentro dos limites legais.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3.1.2.4. Substituição proativa de componentes de desgaste natural (rolamentos, mancais, correias, roletes e engrenagens) antes do término de sua vida útil estimada, evitando quebras catastróficas.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3.1.2.5. Verificação diária de tensões, correntes de motores elétricos, pressões de bombas de asfalto e combustível, além do sistema de ar comprimido.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3.1.3 </w:t>
      </w:r>
      <w:r>
        <w:rPr>
          <w:rFonts w:hint="default" w:ascii="Arial" w:hAnsi="Arial" w:cs="Arial"/>
          <w:bCs/>
          <w:iCs/>
          <w:lang w:eastAsia="zh-CN"/>
        </w:rPr>
        <w:t>Em caso de falhas imprevistas, a Contratada atuará de forma imediata na substituição de componentes defeituosos e na re-regulagem do sistema. Isso inclui a calibragem das balanças de agregados e dosadores de CAP, garantindo que o traço do CBUQ permaneça fiel ao projeto de engenharia.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
          <w:bCs w:val="0"/>
          <w:iCs/>
          <w:lang w:eastAsia="zh-CN"/>
        </w:rPr>
      </w:pPr>
      <w:r>
        <w:rPr>
          <w:rFonts w:hint="default" w:ascii="Arial" w:hAnsi="Arial" w:cs="Arial"/>
          <w:bCs/>
          <w:iCs/>
          <w:lang w:val="pt-BR" w:eastAsia="zh-CN"/>
        </w:rPr>
        <w:t xml:space="preserve">3.1.4 </w:t>
      </w:r>
      <w:r>
        <w:rPr>
          <w:rFonts w:hint="default" w:ascii="Arial" w:hAnsi="Arial" w:cs="Arial"/>
          <w:b/>
          <w:bCs w:val="0"/>
          <w:iCs/>
          <w:lang w:eastAsia="zh-CN"/>
        </w:rPr>
        <w:t>Gestão de Equipe e Responsabilidade Técnica</w:t>
      </w:r>
      <w:r>
        <w:rPr>
          <w:rFonts w:hint="default" w:ascii="Arial" w:hAnsi="Arial" w:cs="Arial"/>
          <w:b/>
          <w:bCs w:val="0"/>
          <w:iCs/>
          <w:lang w:val="pt-BR" w:eastAsia="zh-CN"/>
        </w:rPr>
        <w:t xml:space="preserv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3.1.4.1. </w:t>
      </w:r>
      <w:r>
        <w:rPr>
          <w:rFonts w:hint="default" w:ascii="Arial" w:hAnsi="Arial" w:cs="Arial"/>
          <w:bCs/>
          <w:iCs/>
          <w:lang w:eastAsia="zh-CN"/>
        </w:rPr>
        <w:t>A operação será liderada por um Engenheiro Mecânico (Responsável Técnico) registrado no CREA, acompanhado por profissionais (Mecânico, Eletricista e Operadores) com treinamento comprovado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3.1.4.2. </w:t>
      </w:r>
      <w:r>
        <w:rPr>
          <w:rFonts w:hint="default" w:ascii="Arial" w:hAnsi="Arial" w:cs="Arial"/>
          <w:bCs/>
          <w:iCs/>
          <w:lang w:eastAsia="zh-CN"/>
        </w:rPr>
        <w:t>A Contratada compromete-se a manter um quadro de excelência, aceitando a autoridade da Fiscalização para o afastamento imediato de qualquer colaborador que apresente imperícia, imprudência ou conduta incompatível com a segurança da usina.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3.1.4.3. </w:t>
      </w:r>
      <w:r>
        <w:rPr>
          <w:rFonts w:hint="default" w:ascii="Arial" w:hAnsi="Arial" w:cs="Arial"/>
          <w:bCs/>
          <w:iCs/>
          <w:lang w:eastAsia="zh-CN"/>
        </w:rPr>
        <w:t xml:space="preserve"> Aplicação rigorosa das normas de segurança (EPIs, EPCs e treinamentos de risco), sendo a Contratada a única responsável por quaisquer danos, sinistros ou encargos decorrentes da atividade.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
          <w:bCs w:val="0"/>
          <w:iCs/>
          <w:lang w:eastAsia="zh-CN"/>
        </w:rPr>
      </w:pPr>
      <w:r>
        <w:rPr>
          <w:rFonts w:hint="default" w:ascii="Arial" w:hAnsi="Arial" w:cs="Arial"/>
          <w:bCs/>
          <w:iCs/>
          <w:lang w:val="pt-BR" w:eastAsia="zh-CN"/>
        </w:rPr>
        <w:t xml:space="preserve">3.1.5 </w:t>
      </w:r>
      <w:r>
        <w:rPr>
          <w:rFonts w:hint="default" w:ascii="Arial" w:hAnsi="Arial" w:cs="Arial"/>
          <w:b/>
          <w:bCs w:val="0"/>
          <w:iCs/>
          <w:lang w:eastAsia="zh-CN"/>
        </w:rPr>
        <w:t>Rotina Operacional e Fiscalização</w:t>
      </w:r>
      <w:r>
        <w:rPr>
          <w:rFonts w:hint="default" w:ascii="Arial" w:hAnsi="Arial" w:cs="Arial"/>
          <w:b/>
          <w:bCs w:val="0"/>
          <w:iCs/>
          <w:lang w:val="pt-BR" w:eastAsia="zh-CN"/>
        </w:rPr>
        <w:t xml:space="preserv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3.1.5.1. </w:t>
      </w:r>
      <w:r>
        <w:rPr>
          <w:rFonts w:hint="default" w:ascii="Arial" w:hAnsi="Arial" w:cs="Arial"/>
          <w:bCs/>
          <w:iCs/>
          <w:lang w:eastAsia="zh-CN"/>
        </w:rPr>
        <w:t xml:space="preserve"> Os serviços serão realizados em regime diurno, totalizando 40 horas semanais (07:00 às 16:00), garantindo o suporte necessário durante o período de produção de massa asfáltica.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3.1.5.2. </w:t>
      </w:r>
      <w:r>
        <w:rPr>
          <w:rFonts w:hint="default" w:ascii="Arial" w:hAnsi="Arial" w:cs="Arial"/>
          <w:bCs/>
          <w:iCs/>
          <w:lang w:eastAsia="zh-CN"/>
        </w:rPr>
        <w:t xml:space="preserve"> A Contratada garantirá livre acesso aos fiscais da </w:t>
      </w:r>
      <w:r>
        <w:rPr>
          <w:rFonts w:hint="default" w:ascii="Arial" w:hAnsi="Arial" w:cs="Arial"/>
          <w:bCs/>
          <w:iCs/>
          <w:lang w:val="pt-BR" w:eastAsia="zh-CN"/>
        </w:rPr>
        <w:t>SEIO</w:t>
      </w:r>
      <w:r>
        <w:rPr>
          <w:rFonts w:hint="default" w:ascii="Arial" w:hAnsi="Arial" w:cs="Arial"/>
          <w:bCs/>
          <w:iCs/>
          <w:lang w:eastAsia="zh-CN"/>
        </w:rPr>
        <w:t>, adotando as orientações recebidas e facilitando o exercício da função fiscalizadora em todas as áreas da usina.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3.1.5.3. </w:t>
      </w:r>
      <w:r>
        <w:rPr>
          <w:rFonts w:hint="default" w:ascii="Arial" w:hAnsi="Arial" w:cs="Arial"/>
          <w:bCs/>
          <w:iCs/>
          <w:lang w:eastAsia="zh-CN"/>
        </w:rPr>
        <w:t>A gerência e segurança de ferramentas, equipamentos e peças de reposição são de inteira responsabilidade da Contratada, ainda que estocados nas dependências da municipalidade.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lang w:val="pt-BR"/>
        </w:rPr>
        <w:t xml:space="preserve">3.1.6 </w:t>
      </w:r>
      <w:r>
        <w:rPr>
          <w:rFonts w:hint="default" w:ascii="Arial" w:hAnsi="Arial" w:cs="Arial"/>
          <w:bCs/>
          <w:iCs/>
        </w:rPr>
        <w:t>Para fins de faturamento e controle de qualidade, será entregue mensalmente um Relatório Descritivo e Fotográfico. Este documento detalhará todas as intervenções realizadas, o estado das peças substituídas, as horas trabalhadas e os parâmetros de funcionamento registrados, servindo como histórico técnico da unidade.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3.1.7 </w:t>
      </w:r>
      <w:r>
        <w:rPr>
          <w:rFonts w:hint="default" w:ascii="Arial" w:hAnsi="Arial" w:cs="Arial"/>
          <w:bCs/>
          <w:iCs/>
          <w:lang w:eastAsia="zh-CN"/>
        </w:rPr>
        <w:t>A Contratada deverá garantir a qualidade, eficácia e segurança de todos os serviços de manutenção (preventiva e corretiva) realizados na Unidade de Produção de Massa Asfáltica. A garantia cobre: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3.1.7.1. Garantia de que os ajustes, calibrações e montagens foram realizados conforme as especificações técnicas do fabricante.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3.1.7.2. Caso o contrato preveja o fornecimento de materiais, estes deverão ter garantia contra defeitos de fabricação.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eastAsia="zh-CN"/>
        </w:rPr>
      </w:pPr>
      <w:r>
        <w:rPr>
          <w:rFonts w:hint="default" w:ascii="Arial" w:hAnsi="Arial" w:cs="Arial"/>
          <w:bCs/>
          <w:iCs/>
          <w:lang w:val="pt-BR" w:eastAsia="zh-CN"/>
        </w:rPr>
        <w:t>3.1.7.3. Garantia de que a usina operará dentro dos parâmetros de produção e temperatura acordados, desde que respeitadas as condições de uso.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3.1.8 O</w:t>
      </w:r>
      <w:r>
        <w:rPr>
          <w:rFonts w:hint="default" w:ascii="Arial" w:hAnsi="Arial" w:cs="Arial"/>
          <w:bCs/>
          <w:iCs/>
          <w:lang w:eastAsia="zh-CN"/>
        </w:rPr>
        <w:t xml:space="preserve"> Contratado realizará a reparação ou substituição d</w:t>
      </w:r>
      <w:r>
        <w:rPr>
          <w:rFonts w:hint="default" w:ascii="Arial" w:hAnsi="Arial" w:cs="Arial"/>
          <w:bCs/>
          <w:iCs/>
          <w:lang w:val="pt-BR" w:eastAsia="zh-CN"/>
        </w:rPr>
        <w:t>as peças</w:t>
      </w:r>
      <w:r>
        <w:rPr>
          <w:rFonts w:hint="default" w:ascii="Arial" w:hAnsi="Arial" w:cs="Arial"/>
          <w:bCs/>
          <w:iCs/>
          <w:lang w:eastAsia="zh-CN"/>
        </w:rPr>
        <w:t xml:space="preserve"> que apresentarem vício ou defeito no prazo de até 05 (cinco) dias úteis, contados a partir da data </w:t>
      </w:r>
      <w:r>
        <w:rPr>
          <w:rFonts w:hint="default" w:ascii="Arial" w:hAnsi="Arial" w:cs="Arial"/>
          <w:bCs/>
          <w:iCs/>
          <w:lang w:val="pt-BR" w:eastAsia="zh-CN"/>
        </w:rPr>
        <w:t>da apresentação do defeito</w:t>
      </w:r>
      <w:r>
        <w:rPr>
          <w:rFonts w:hint="default" w:ascii="Arial" w:hAnsi="Arial" w:cs="Arial"/>
          <w:bCs/>
          <w:iCs/>
          <w:lang w:eastAsia="zh-CN"/>
        </w:rPr>
        <w:t xml:space="preserv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3.1.9 </w:t>
      </w:r>
      <w:r>
        <w:rPr>
          <w:rFonts w:hint="default" w:ascii="Arial" w:hAnsi="Arial" w:cs="Arial"/>
          <w:bCs/>
          <w:iCs/>
          <w:lang w:eastAsia="zh-CN"/>
        </w:rPr>
        <w:t xml:space="preserve">O prazo indicado no subitem anterior, durante seu transcurso, poderá ser prorrogado uma única vez, por igual período, mediante solicitação escrita e justificada do Contratado, aceita pelo Contratante.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3.1.10 </w:t>
      </w:r>
      <w:r>
        <w:rPr>
          <w:rFonts w:hint="default" w:ascii="Arial" w:hAnsi="Arial" w:cs="Arial"/>
          <w:bCs/>
          <w:iCs/>
          <w:lang w:eastAsia="zh-CN"/>
        </w:rPr>
        <w:t xml:space="preserve">Na hipótese do subitem acima, o Contratado deverá disponibilizar </w:t>
      </w:r>
      <w:r>
        <w:rPr>
          <w:rFonts w:hint="default" w:ascii="Arial" w:hAnsi="Arial" w:cs="Arial"/>
          <w:bCs/>
          <w:iCs/>
          <w:lang w:val="pt-BR" w:eastAsia="zh-CN"/>
        </w:rPr>
        <w:t xml:space="preserve">peça de </w:t>
      </w:r>
      <w:r>
        <w:rPr>
          <w:rFonts w:hint="default" w:ascii="Arial" w:hAnsi="Arial" w:cs="Arial"/>
          <w:bCs/>
          <w:iCs/>
          <w:lang w:eastAsia="zh-CN"/>
        </w:rPr>
        <w:t>especificação igual ou superior</w:t>
      </w:r>
      <w:r>
        <w:rPr>
          <w:rFonts w:hint="default" w:ascii="Arial" w:hAnsi="Arial" w:cs="Arial"/>
          <w:bCs/>
          <w:iCs/>
          <w:lang w:val="pt-BR" w:eastAsia="zh-CN"/>
        </w:rPr>
        <w:t>,</w:t>
      </w:r>
      <w:r>
        <w:rPr>
          <w:rFonts w:hint="default" w:ascii="Arial" w:hAnsi="Arial" w:cs="Arial"/>
          <w:bCs/>
          <w:iCs/>
          <w:lang w:eastAsia="zh-CN"/>
        </w:rPr>
        <w:t xml:space="preserve"> para utilização em caráter provisório pelo Contratante, de modo a garantir a continuidade dos trabalhos administrativos durante a execução dos reparos.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3.1.11 </w:t>
      </w:r>
      <w:r>
        <w:rPr>
          <w:rFonts w:hint="default" w:ascii="Arial" w:hAnsi="Arial" w:cs="Arial"/>
          <w:bCs/>
          <w:iCs/>
          <w:lang w:eastAsia="zh-CN"/>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w:t>
      </w:r>
      <w:r>
        <w:rPr>
          <w:rFonts w:hint="default" w:ascii="Arial" w:hAnsi="Arial" w:cs="Arial"/>
          <w:bCs/>
          <w:iCs/>
          <w:lang w:val="pt-BR" w:eastAsia="zh-CN"/>
        </w:rPr>
        <w:t>a</w:t>
      </w:r>
      <w:r>
        <w:rPr>
          <w:rFonts w:hint="default" w:ascii="Arial" w:hAnsi="Arial" w:cs="Arial"/>
          <w:bCs/>
          <w:iCs/>
          <w:lang w:eastAsia="zh-CN"/>
        </w:rPr>
        <w:t xml:space="preserve">s </w:t>
      </w:r>
      <w:r>
        <w:rPr>
          <w:rFonts w:hint="default" w:ascii="Arial" w:hAnsi="Arial" w:cs="Arial"/>
          <w:bCs/>
          <w:iCs/>
          <w:lang w:val="pt-BR" w:eastAsia="zh-CN"/>
        </w:rPr>
        <w:t>peças</w:t>
      </w:r>
      <w:r>
        <w:rPr>
          <w:rFonts w:hint="default" w:ascii="Arial" w:hAnsi="Arial" w:cs="Arial"/>
          <w:bCs/>
          <w:iCs/>
          <w:lang w:eastAsia="zh-CN"/>
        </w:rPr>
        <w:t xml:space="preserv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3.1.12 </w:t>
      </w:r>
      <w:r>
        <w:rPr>
          <w:rFonts w:hint="default" w:ascii="Arial" w:hAnsi="Arial" w:cs="Arial"/>
          <w:bCs/>
          <w:iCs/>
          <w:lang w:eastAsia="zh-CN"/>
        </w:rPr>
        <w:t>O custo referente ao transporte d</w:t>
      </w:r>
      <w:r>
        <w:rPr>
          <w:rFonts w:hint="default" w:ascii="Arial" w:hAnsi="Arial" w:cs="Arial"/>
          <w:bCs/>
          <w:iCs/>
          <w:lang w:val="pt-BR" w:eastAsia="zh-CN"/>
        </w:rPr>
        <w:t>as peças</w:t>
      </w:r>
      <w:r>
        <w:rPr>
          <w:rFonts w:hint="default" w:ascii="Arial" w:hAnsi="Arial" w:cs="Arial"/>
          <w:bCs/>
          <w:iCs/>
          <w:lang w:eastAsia="zh-CN"/>
        </w:rPr>
        <w:t xml:space="preserve"> cobertos pela garantia será de responsabilidade do Contratado.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zh-CN"/>
        </w:rPr>
      </w:pPr>
      <w:r>
        <w:rPr>
          <w:rFonts w:hint="default" w:ascii="Arial" w:hAnsi="Arial" w:cs="Arial"/>
          <w:bCs/>
          <w:iCs/>
          <w:lang w:val="pt-BR" w:eastAsia="zh-CN"/>
        </w:rPr>
        <w:t xml:space="preserve">3.1.13 </w:t>
      </w:r>
      <w:r>
        <w:rPr>
          <w:rFonts w:hint="default" w:ascii="Arial" w:hAnsi="Arial" w:cs="Arial"/>
          <w:bCs/>
          <w:iCs/>
          <w:lang w:eastAsia="zh-CN"/>
        </w:rPr>
        <w:t>A garantia legal ou contratual d</w:t>
      </w:r>
      <w:r>
        <w:rPr>
          <w:rFonts w:hint="default" w:ascii="Arial" w:hAnsi="Arial" w:cs="Arial"/>
          <w:bCs/>
          <w:iCs/>
          <w:lang w:val="pt-BR" w:eastAsia="zh-CN"/>
        </w:rPr>
        <w:t>as peças</w:t>
      </w:r>
      <w:r>
        <w:rPr>
          <w:rFonts w:hint="default" w:ascii="Arial" w:hAnsi="Arial" w:cs="Arial"/>
          <w:bCs/>
          <w:iCs/>
          <w:lang w:eastAsia="zh-CN"/>
        </w:rPr>
        <w:t xml:space="preserve"> te</w:t>
      </w:r>
      <w:r>
        <w:rPr>
          <w:rFonts w:hint="default" w:ascii="Arial" w:hAnsi="Arial" w:cs="Arial"/>
          <w:bCs/>
          <w:iCs/>
          <w:lang w:val="pt-BR" w:eastAsia="zh-CN"/>
        </w:rPr>
        <w:t>rão o</w:t>
      </w:r>
      <w:r>
        <w:rPr>
          <w:rFonts w:hint="default" w:ascii="Arial" w:hAnsi="Arial" w:cs="Arial"/>
          <w:bCs/>
          <w:iCs/>
          <w:lang w:eastAsia="zh-CN"/>
        </w:rPr>
        <w:t xml:space="preserve"> prazo de vigência próprio e desvinculado daquele fixado no contrato, permitindo eventual aplicação de penalidades em caso de descumprimento de alguma de suas condições, mesmo depois de expirada a vigência contratual.</w:t>
      </w:r>
    </w:p>
    <w:p>
      <w:pPr>
        <w:tabs>
          <w:tab w:val="left" w:pos="620"/>
        </w:tabs>
        <w:rPr>
          <w:rFonts w:hint="default" w:ascii="Arial" w:hAnsi="Arial" w:cs="Arial"/>
          <w:sz w:val="20"/>
          <w:szCs w:val="20"/>
        </w:rPr>
      </w:pP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 xml:space="preserve">3.2 </w:t>
      </w:r>
      <w:r>
        <w:rPr>
          <w:rFonts w:hint="default" w:ascii="Arial" w:hAnsi="Arial" w:cs="Arial"/>
          <w:bCs/>
          <w:iCs/>
          <w:u w:val="single"/>
        </w:rPr>
        <w:t>MODELO DE GESTÃO DO CONTRATO (art. 6º, XXIII, alínea “f”, da Lei nº 14.133/21)</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 xml:space="preserve">3.2.1 </w:t>
      </w:r>
      <w:r>
        <w:rPr>
          <w:rFonts w:hint="default" w:ascii="Arial" w:hAnsi="Arial" w:cs="Arial"/>
          <w:bCs/>
          <w:iCs/>
        </w:rPr>
        <w:t>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4" w:name="art115§5"/>
      <w:bookmarkEnd w:id="4"/>
      <w:bookmarkStart w:id="5" w:name="art115§1"/>
      <w:bookmarkEnd w:id="5"/>
      <w:r>
        <w:rPr>
          <w:rFonts w:hint="default" w:ascii="Arial" w:hAnsi="Arial" w:cs="Arial"/>
          <w:bCs/>
          <w:iCs/>
          <w:lang w:val="pt-BR"/>
        </w:rPr>
        <w:t xml:space="preserve">3.2.2 </w:t>
      </w:r>
      <w:r>
        <w:rPr>
          <w:rFonts w:hint="default" w:ascii="Arial" w:hAnsi="Arial" w:cs="Arial"/>
          <w:bCs/>
          <w:iCs/>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6" w:name="art116"/>
      <w:bookmarkEnd w:id="6"/>
      <w:r>
        <w:rPr>
          <w:rFonts w:hint="default" w:ascii="Arial" w:hAnsi="Arial" w:cs="Arial"/>
          <w:bCs/>
          <w:iCs/>
          <w:lang w:val="pt-BR"/>
        </w:rPr>
        <w:t xml:space="preserve">3.2.3 </w:t>
      </w:r>
      <w:r>
        <w:rPr>
          <w:rFonts w:hint="default" w:ascii="Arial" w:hAnsi="Arial" w:cs="Arial"/>
          <w:bCs/>
          <w:iCs/>
        </w:rPr>
        <w:t>A execução do contrato deverá ser acompanhada e fiscalizada pelo(s) fiscal(is) do contrato, ou pelos respectivos substitutos (Lei nº 14.133/2021, art. 117, caput).</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3.2.4 </w:t>
      </w:r>
      <w:r>
        <w:rPr>
          <w:rFonts w:hint="default" w:ascii="Arial" w:hAnsi="Arial" w:cs="Arial"/>
          <w:bCs/>
          <w:iCs/>
          <w:lang w:eastAsia="en-US"/>
        </w:rPr>
        <w:t>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bookmarkStart w:id="7" w:name="art117§2"/>
      <w:bookmarkEnd w:id="7"/>
      <w:r>
        <w:rPr>
          <w:rFonts w:hint="default" w:ascii="Arial" w:hAnsi="Arial" w:cs="Arial"/>
          <w:bCs/>
          <w:iCs/>
          <w:lang w:val="pt-BR" w:eastAsia="en-US"/>
        </w:rPr>
        <w:t xml:space="preserve">3.2.5 </w:t>
      </w:r>
      <w:r>
        <w:rPr>
          <w:rFonts w:hint="default" w:ascii="Arial" w:hAnsi="Arial" w:cs="Arial"/>
          <w:bCs/>
          <w:iCs/>
          <w:lang w:eastAsia="en-US"/>
        </w:rPr>
        <w:t>O fiscal do contrato informará a seus superiores, em tempo hábil para a adoção das medidas convenientes, a situação que demandar decisão ou providência que ultrapasse sua competência (Lei nº 14.133/2021, art. 117, §2º).</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eastAsia="en-US"/>
        </w:rPr>
        <w:t xml:space="preserve">3.2.6 </w:t>
      </w:r>
      <w:r>
        <w:rPr>
          <w:rFonts w:hint="default" w:ascii="Arial" w:hAnsi="Arial" w:cs="Arial"/>
          <w:bCs/>
          <w:iCs/>
          <w:lang w:eastAsia="en-US"/>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8" w:name="art120"/>
      <w:bookmarkEnd w:id="8"/>
      <w:r>
        <w:rPr>
          <w:rFonts w:hint="default" w:ascii="Arial" w:hAnsi="Arial" w:cs="Arial"/>
          <w:bCs/>
          <w:iCs/>
          <w:lang w:val="pt-BR"/>
        </w:rPr>
        <w:t xml:space="preserve">3.2.7 </w:t>
      </w:r>
      <w:r>
        <w:rPr>
          <w:rFonts w:hint="default" w:ascii="Arial" w:hAnsi="Arial" w:cs="Arial"/>
          <w:bCs/>
          <w:iCs/>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9" w:name="art121"/>
      <w:bookmarkEnd w:id="9"/>
      <w:r>
        <w:rPr>
          <w:rFonts w:hint="default" w:ascii="Arial" w:hAnsi="Arial" w:cs="Arial"/>
          <w:bCs/>
          <w:iCs/>
          <w:lang w:val="pt-BR"/>
        </w:rPr>
        <w:t xml:space="preserve">3.2.8 </w:t>
      </w:r>
      <w:r>
        <w:rPr>
          <w:rFonts w:hint="default" w:ascii="Arial" w:hAnsi="Arial" w:cs="Arial"/>
          <w:bCs/>
          <w:iCs/>
        </w:rPr>
        <w:t>Somente o contratado será responsável pelos encargos trabalhistas, previdenciários, fiscais e comerciais resultantes da execução do contrato (Lei nº 14.133/2021, art. 121, caput).</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10" w:name="art121§1"/>
      <w:bookmarkEnd w:id="10"/>
      <w:r>
        <w:rPr>
          <w:rFonts w:hint="default" w:ascii="Arial" w:hAnsi="Arial" w:cs="Arial"/>
          <w:bCs/>
          <w:iCs/>
          <w:lang w:val="pt-BR"/>
        </w:rPr>
        <w:t xml:space="preserve">3.2.9 </w:t>
      </w:r>
      <w:r>
        <w:rPr>
          <w:rFonts w:hint="default" w:ascii="Arial" w:hAnsi="Arial" w:cs="Arial"/>
          <w:bCs/>
          <w:iCs/>
        </w:rPr>
        <w:t>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bookmarkStart w:id="11" w:name="art122§3"/>
      <w:bookmarkEnd w:id="11"/>
      <w:bookmarkStart w:id="12" w:name="art123"/>
      <w:bookmarkEnd w:id="12"/>
      <w:bookmarkStart w:id="13" w:name="art122§1"/>
      <w:bookmarkEnd w:id="13"/>
      <w:bookmarkStart w:id="14" w:name="art122"/>
      <w:bookmarkEnd w:id="14"/>
      <w:bookmarkStart w:id="15" w:name="art122§2"/>
      <w:bookmarkEnd w:id="15"/>
      <w:r>
        <w:rPr>
          <w:rFonts w:hint="default" w:ascii="Arial" w:hAnsi="Arial" w:cs="Arial"/>
          <w:bCs/>
          <w:iCs/>
          <w:lang w:val="pt-BR"/>
        </w:rPr>
        <w:t xml:space="preserve">3.2.10 </w:t>
      </w:r>
      <w:r>
        <w:rPr>
          <w:rFonts w:hint="default" w:ascii="Arial" w:hAnsi="Arial" w:cs="Arial"/>
          <w:bCs/>
          <w:iCs/>
        </w:rPr>
        <w:t>As comunicações entre o órgão ou entidade e a contratada devem ser realizadas por escrito sempre que o ato exigir tal formalidade, admitindo-se, excepcionalmente, o uso de mensagem eletrônica para esse fim.</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 xml:space="preserve">3.2.11 </w:t>
      </w:r>
      <w:r>
        <w:rPr>
          <w:rFonts w:hint="default" w:ascii="Arial" w:hAnsi="Arial" w:cs="Arial"/>
          <w:bCs/>
          <w:iCs/>
        </w:rPr>
        <w:t>O órgão ou entidade poderá convocar representante da empresa para adoção de providências que devam ser cumpridas de imediato.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 xml:space="preserve">3.2.12 </w:t>
      </w:r>
      <w:r>
        <w:rPr>
          <w:rFonts w:hint="default" w:ascii="Arial" w:hAnsi="Arial" w:cs="Arial"/>
          <w:bCs/>
          <w:iCs/>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3.2.13 </w:t>
      </w:r>
      <w:r>
        <w:rPr>
          <w:rFonts w:hint="default" w:ascii="Arial" w:hAnsi="Arial" w:cs="Arial"/>
          <w:bCs/>
          <w:iCs/>
          <w:lang w:eastAsia="en-US"/>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3.2.14 </w:t>
      </w:r>
      <w:r>
        <w:rPr>
          <w:rFonts w:hint="default" w:ascii="Arial" w:hAnsi="Arial" w:cs="Arial"/>
          <w:bCs/>
          <w:iCs/>
          <w:lang w:eastAsia="en-US"/>
        </w:rPr>
        <w:t>Para o acompanhamento, gestão e fiscalização da execução do presente contrato, serão designados em momento posterior, antes da execução do objeto, agentes públicos gestor/gestor substituto e fiscal/ fiscal substituto.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3.2.15 </w:t>
      </w:r>
      <w:r>
        <w:rPr>
          <w:rFonts w:hint="default" w:ascii="Arial" w:hAnsi="Arial" w:cs="Arial"/>
          <w:bCs/>
          <w:iCs/>
          <w:lang w:eastAsia="en-US"/>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3.2.16 </w:t>
      </w:r>
      <w:r>
        <w:rPr>
          <w:rFonts w:hint="default" w:ascii="Arial" w:hAnsi="Arial" w:cs="Arial"/>
          <w:bCs/>
          <w:iCs/>
          <w:lang w:eastAsia="en-US"/>
        </w:rPr>
        <w:t>O(s) fiscal(is) designado pela Contratante deverá ter a experiência necessária para o acompanhamento e controle da execução dos serviços e do contrato;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3.2.17 </w:t>
      </w:r>
      <w:r>
        <w:rPr>
          <w:rFonts w:hint="default" w:ascii="Arial" w:hAnsi="Arial" w:cs="Arial"/>
          <w:bCs/>
          <w:iCs/>
          <w:lang w:eastAsia="en-US"/>
        </w:rPr>
        <w:t>A verificação da adequação da prestação do serviço deverá ser realizada com base nos critérios previstos neste Termo de Referência;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3.2.18 </w:t>
      </w:r>
      <w:r>
        <w:rPr>
          <w:rFonts w:hint="default" w:ascii="Arial" w:hAnsi="Arial" w:cs="Arial"/>
          <w:bCs/>
          <w:iCs/>
          <w:lang w:eastAsia="en-US"/>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Cs/>
          <w:iCs/>
        </w:rPr>
      </w:pPr>
      <w:r>
        <w:rPr>
          <w:rFonts w:hint="default" w:ascii="Arial" w:hAnsi="Arial" w:cs="Arial"/>
          <w:bCs/>
          <w:iCs/>
          <w:lang w:val="en-US" w:eastAsia="pt-BR"/>
        </w:rPr>
        <w:t xml:space="preserve"> </w:t>
      </w:r>
      <w:r>
        <w:rPr>
          <w:rFonts w:hint="default" w:ascii="Arial" w:hAnsi="Arial" w:cs="Arial"/>
          <w:bCs/>
          <w:iCs/>
        </w:rPr>
        <w:t xml:space="preserve">As notas fiscais deverão ser emitidas em nome de: </w:t>
      </w:r>
      <w:r>
        <w:rPr>
          <w:rFonts w:hint="default" w:ascii="Arial" w:hAnsi="Arial" w:cs="Arial"/>
          <w:b/>
          <w:bCs w:val="0"/>
          <w:iCs/>
        </w:rPr>
        <w:t>MUNICÍPIO DE NOVA FRIBURGO</w:t>
      </w:r>
      <w:r>
        <w:rPr>
          <w:rFonts w:hint="default" w:ascii="Arial" w:hAnsi="Arial" w:cs="Arial"/>
          <w:b/>
          <w:bCs w:val="0"/>
          <w:iCs/>
          <w:lang w:val="pt-BR"/>
        </w:rPr>
        <w:t xml:space="preserve"> , </w:t>
      </w:r>
      <w:r>
        <w:rPr>
          <w:rFonts w:hint="default" w:ascii="Arial" w:hAnsi="Arial" w:cs="Arial"/>
          <w:b/>
          <w:bCs w:val="0"/>
          <w:iCs/>
        </w:rPr>
        <w:t>CNPJ: 28.606.630/0001-23</w:t>
      </w:r>
      <w:r>
        <w:rPr>
          <w:rFonts w:hint="default" w:ascii="Arial" w:hAnsi="Arial" w:cs="Arial"/>
          <w:b/>
          <w:bCs w:val="0"/>
          <w:iCs/>
          <w:lang w:val="pt-BR"/>
        </w:rPr>
        <w:t xml:space="preserve">, </w:t>
      </w:r>
      <w:r>
        <w:rPr>
          <w:rFonts w:hint="default" w:ascii="Arial" w:hAnsi="Arial" w:cs="Arial"/>
          <w:b/>
          <w:bCs w:val="0"/>
          <w:iCs/>
        </w:rPr>
        <w:t>ENDEREÇO: AVENIDA ALBERTO BRAUNE, 225</w:t>
      </w:r>
      <w:r>
        <w:rPr>
          <w:rFonts w:hint="default" w:ascii="Arial" w:hAnsi="Arial" w:cs="Arial"/>
          <w:b/>
          <w:bCs w:val="0"/>
          <w:iCs/>
          <w:lang w:val="pt-BR"/>
        </w:rPr>
        <w:t xml:space="preserve">, </w:t>
      </w:r>
      <w:r>
        <w:rPr>
          <w:rFonts w:hint="default" w:ascii="Arial" w:hAnsi="Arial" w:cs="Arial"/>
          <w:b/>
          <w:bCs w:val="0"/>
          <w:iCs/>
        </w:rPr>
        <w:t>CENTRO, NOVA FRIBURGO - RJ, CEP: 28613-001</w:t>
      </w:r>
      <w:r>
        <w:rPr>
          <w:rFonts w:hint="default" w:ascii="Arial" w:hAnsi="Arial" w:cs="Arial"/>
          <w:bCs/>
          <w:iCs/>
        </w:rPr>
        <w:br w:type="textWrapping"/>
      </w:r>
    </w:p>
    <w:p>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Cs/>
          <w:iCs/>
          <w:u w:val="single"/>
        </w:rPr>
      </w:pPr>
      <w:r>
        <w:rPr>
          <w:rFonts w:hint="default" w:ascii="Arial" w:hAnsi="Arial" w:cs="Arial"/>
          <w:bCs/>
          <w:iCs/>
          <w:u w:val="single"/>
        </w:rPr>
        <w:t>Da liquidação da despesa: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eastAsia="en-US"/>
        </w:rPr>
        <w:t xml:space="preserve">6.2.1 </w:t>
      </w:r>
      <w:r>
        <w:rPr>
          <w:rFonts w:hint="default" w:ascii="Arial" w:hAnsi="Arial" w:cs="Arial"/>
          <w:bCs/>
          <w:iCs/>
          <w:lang w:eastAsia="en-US"/>
        </w:rPr>
        <w:t>A liquidação será realizada pela Secretaria de Fazenda, a partir do cumprimento das obrigações elencadas neste Termo de Referência, em obediência aos Decretos: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eastAsia="en-US"/>
        </w:rPr>
        <w:t>I - 2480 de 30 de outubro de 2023.</w:t>
      </w:r>
      <w:r>
        <w:rPr>
          <w:rFonts w:hint="default" w:ascii="Arial" w:hAnsi="Arial" w:cs="Arial"/>
          <w:bCs/>
          <w:iCs/>
        </w:rPr>
        <w:br w:type="textWrapping"/>
      </w:r>
      <w:r>
        <w:rPr>
          <w:rFonts w:hint="default" w:ascii="Arial" w:hAnsi="Arial" w:cs="Arial"/>
          <w:bCs/>
          <w:iCs/>
        </w:rPr>
        <w:fldChar w:fldCharType="begin"/>
      </w:r>
      <w:r>
        <w:rPr>
          <w:rFonts w:hint="default" w:ascii="Arial" w:hAnsi="Arial" w:cs="Arial"/>
          <w:bCs/>
          <w:iCs/>
        </w:rPr>
        <w:instrText xml:space="preserve"> HYPERLINK "https://www.pmnf.rj.gov.br/uploads/pagina/arquivos/DECRETO-2480-2023-301023.pdf" \h </w:instrText>
      </w:r>
      <w:r>
        <w:rPr>
          <w:rFonts w:hint="default" w:ascii="Arial" w:hAnsi="Arial" w:cs="Arial"/>
          <w:bCs/>
          <w:iCs/>
        </w:rPr>
        <w:fldChar w:fldCharType="separate"/>
      </w:r>
      <w:r>
        <w:rPr>
          <w:rFonts w:hint="default" w:ascii="Arial" w:hAnsi="Arial" w:cs="Arial"/>
          <w:bCs/>
          <w:iCs/>
        </w:rPr>
        <w:t>https://www.pmnf.rj.gov.br/uploads/pagina/arquivos/DECRETO-2480-2023-301023.pdf</w:t>
      </w:r>
      <w:r>
        <w:rPr>
          <w:rFonts w:hint="default" w:ascii="Arial" w:hAnsi="Arial" w:cs="Arial"/>
          <w:bCs/>
          <w:iCs/>
        </w:rPr>
        <w:fldChar w:fldCharType="end"/>
      </w:r>
      <w:r>
        <w:rPr>
          <w:rFonts w:hint="default" w:ascii="Arial" w:hAnsi="Arial" w:cs="Arial"/>
          <w:bCs/>
          <w:iCs/>
        </w:rPr>
        <w:t xml:space="preserve"> </w:t>
      </w:r>
      <w:r>
        <w:rPr>
          <w:rFonts w:hint="default" w:ascii="Arial" w:hAnsi="Arial" w:cs="Arial"/>
          <w:bCs/>
          <w:iCs/>
        </w:rPr>
        <w:br w:type="textWrapping"/>
      </w:r>
      <w:r>
        <w:rPr>
          <w:rFonts w:hint="default" w:ascii="Arial" w:hAnsi="Arial" w:cs="Arial"/>
          <w:bCs/>
          <w:iCs/>
          <w:lang w:eastAsia="en-US"/>
        </w:rPr>
        <w:t xml:space="preserve">II - 2493 de 07 de novembro de 2023. </w:t>
      </w:r>
      <w:r>
        <w:rPr>
          <w:rFonts w:hint="default" w:ascii="Arial" w:hAnsi="Arial" w:cs="Arial"/>
          <w:bCs/>
          <w:iCs/>
        </w:rPr>
        <w:fldChar w:fldCharType="begin"/>
      </w:r>
      <w:r>
        <w:rPr>
          <w:rFonts w:hint="default" w:ascii="Arial" w:hAnsi="Arial" w:cs="Arial"/>
          <w:bCs/>
          <w:iCs/>
        </w:rPr>
        <w:instrText xml:space="preserve"> HYPERLINK "https://www.pmnf.rj.gov.br/uploads/pagina/arquivos/DECRETO-2493-2023-071123.pdf" \h </w:instrText>
      </w:r>
      <w:r>
        <w:rPr>
          <w:rFonts w:hint="default" w:ascii="Arial" w:hAnsi="Arial" w:cs="Arial"/>
          <w:bCs/>
          <w:iCs/>
        </w:rPr>
        <w:fldChar w:fldCharType="separate"/>
      </w:r>
      <w:r>
        <w:rPr>
          <w:rFonts w:hint="default" w:ascii="Arial" w:hAnsi="Arial" w:cs="Arial"/>
          <w:bCs/>
          <w:iCs/>
        </w:rPr>
        <w:t>https://www.pmnf.rj.gov.br/uploads/pagina/arquivos/DECRETO-2493-2023-071123.pdf</w:t>
      </w:r>
      <w:r>
        <w:rPr>
          <w:rFonts w:hint="default" w:ascii="Arial" w:hAnsi="Arial" w:cs="Arial"/>
          <w:bCs/>
          <w:iCs/>
        </w:rPr>
        <w:fldChar w:fldCharType="end"/>
      </w:r>
      <w:r>
        <w:rPr>
          <w:rFonts w:hint="default" w:ascii="Arial" w:hAnsi="Arial" w:cs="Arial"/>
          <w:bCs/>
          <w:iCs/>
        </w:rPr>
        <w:t xml:space="preserve">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u w:val="single"/>
        </w:rPr>
      </w:pPr>
      <w:r>
        <w:rPr>
          <w:rFonts w:hint="default" w:ascii="Arial" w:hAnsi="Arial" w:cs="Arial"/>
          <w:bCs/>
          <w:iCs/>
          <w:lang w:eastAsia="en-US"/>
        </w:rPr>
        <w:t xml:space="preserve">III -  3116/2024 de 18 de Setembro de 2024 </w:t>
      </w:r>
      <w:r>
        <w:rPr>
          <w:rFonts w:hint="default" w:ascii="Arial" w:hAnsi="Arial" w:cs="Arial"/>
          <w:bCs/>
          <w:iCs/>
        </w:rPr>
        <w:fldChar w:fldCharType="begin"/>
      </w:r>
      <w:r>
        <w:rPr>
          <w:rFonts w:hint="default" w:ascii="Arial" w:hAnsi="Arial" w:cs="Arial"/>
          <w:bCs/>
          <w:iCs/>
        </w:rPr>
        <w:instrText xml:space="preserve"> HYPERLINK "https://www.pmnf.rj.gov.br/uploads/pagina/arquivos/DECRETO-3116-2024-180924-ALTERACAO-ORDEM-CRONOLOGICA.pdf" \h </w:instrText>
      </w:r>
      <w:r>
        <w:rPr>
          <w:rFonts w:hint="default" w:ascii="Arial" w:hAnsi="Arial" w:cs="Arial"/>
          <w:bCs/>
          <w:iCs/>
        </w:rPr>
        <w:fldChar w:fldCharType="separate"/>
      </w:r>
      <w:r>
        <w:rPr>
          <w:rFonts w:hint="default" w:ascii="Arial" w:hAnsi="Arial" w:cs="Arial"/>
          <w:bCs/>
          <w:iCs/>
        </w:rPr>
        <w:t>https://www.pmnf.rj.gov.br/uploads/pagina/arquivos/DECRETO-3116-2024-180924-ALTERACAO-ORDEM-CRONOLOGICA.pdf</w:t>
      </w:r>
      <w:r>
        <w:rPr>
          <w:rFonts w:hint="default" w:ascii="Arial" w:hAnsi="Arial" w:cs="Arial"/>
          <w:bCs/>
          <w:iCs/>
        </w:rPr>
        <w:fldChar w:fldCharType="end"/>
      </w:r>
    </w:p>
    <w:p>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Cs/>
          <w:iCs/>
          <w:u w:val="single"/>
        </w:rPr>
      </w:pPr>
      <w:r>
        <w:rPr>
          <w:rFonts w:hint="default" w:ascii="Arial" w:hAnsi="Arial" w:cs="Arial"/>
          <w:bCs/>
          <w:iCs/>
          <w:u w:val="single"/>
        </w:rPr>
        <w:t>Do pagamento da despesa: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eastAsia="en-US"/>
        </w:rPr>
        <w:t xml:space="preserve">6.3.1  </w:t>
      </w:r>
      <w:r>
        <w:rPr>
          <w:rFonts w:hint="default" w:ascii="Arial" w:hAnsi="Arial" w:cs="Arial"/>
          <w:bCs/>
          <w:iCs/>
          <w:lang w:eastAsia="en-US"/>
        </w:rPr>
        <w:t>O pagamento será efetuado conforme estabelecem o Decreto n.º 2480/23, Decreto n.º 2493/23 e Decreto nº 3116/2024, desde que as certidões listadas abaixo estejam dentro da validade: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w:t>
      </w:r>
      <w:r>
        <w:rPr>
          <w:rFonts w:hint="default" w:ascii="Arial" w:hAnsi="Arial" w:cs="Arial"/>
          <w:bCs/>
          <w:iCs/>
        </w:rPr>
        <w:t>Negativa de Débitos Trabalhistas;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w:t>
      </w:r>
      <w:r>
        <w:rPr>
          <w:rFonts w:hint="default" w:ascii="Arial" w:hAnsi="Arial" w:cs="Arial"/>
          <w:bCs/>
          <w:iCs/>
        </w:rPr>
        <w:t>Fazenda Federal – abrange as contribuições sociais;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w:t>
      </w:r>
      <w:r>
        <w:rPr>
          <w:rFonts w:hint="default" w:ascii="Arial" w:hAnsi="Arial" w:cs="Arial"/>
          <w:bCs/>
          <w:iCs/>
        </w:rPr>
        <w:t>FGTS;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w:t>
      </w:r>
      <w:r>
        <w:rPr>
          <w:rFonts w:hint="default" w:ascii="Arial" w:hAnsi="Arial" w:cs="Arial"/>
          <w:bCs/>
          <w:iCs/>
        </w:rPr>
        <w:t>PGE – referente a Dívida Ativa Estadual;</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w:t>
      </w:r>
      <w:r>
        <w:rPr>
          <w:rFonts w:hint="default" w:ascii="Arial" w:hAnsi="Arial" w:cs="Arial"/>
          <w:bCs/>
          <w:iCs/>
        </w:rPr>
        <w:t>Municipal – referente ao ISS e Dívida Ativa;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rPr>
        <w:t>-</w:t>
      </w:r>
      <w:r>
        <w:rPr>
          <w:rFonts w:hint="default" w:ascii="Arial" w:hAnsi="Arial" w:cs="Arial"/>
          <w:bCs/>
          <w:iCs/>
        </w:rPr>
        <w:t>CND Estadual – referente ao ICMS.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Pr>
      </w:pPr>
      <w:r>
        <w:rPr>
          <w:rFonts w:hint="default" w:ascii="Arial" w:hAnsi="Arial" w:cs="Arial"/>
          <w:bCs/>
          <w:iCs/>
          <w:lang w:val="pt-BR" w:eastAsia="en-US"/>
        </w:rPr>
        <w:t xml:space="preserve">6.3.2 </w:t>
      </w:r>
      <w:r>
        <w:rPr>
          <w:rFonts w:hint="default" w:ascii="Arial" w:hAnsi="Arial" w:cs="Arial"/>
          <w:bCs/>
          <w:iCs/>
          <w:lang w:eastAsia="en-US"/>
        </w:rPr>
        <w:t xml:space="preserve">A </w:t>
      </w:r>
      <w:r>
        <w:rPr>
          <w:rFonts w:hint="default" w:ascii="Arial" w:hAnsi="Arial" w:cs="Arial"/>
          <w:bCs/>
          <w:iCs/>
          <w:lang w:val="pt-BR" w:eastAsia="en-US"/>
        </w:rPr>
        <w:t xml:space="preserve"> </w:t>
      </w:r>
      <w:r>
        <w:rPr>
          <w:rFonts w:hint="default" w:ascii="Arial" w:hAnsi="Arial" w:cs="Arial"/>
          <w:bCs/>
          <w:iCs/>
          <w:lang w:eastAsia="en-US"/>
        </w:rPr>
        <w:t xml:space="preserve">Nota Fiscal deverá conter a identificação do Banco, número da Agência e da Conta Corrente, para que possibilite ao CONTRATANTE efetuar o pagamento do valor devido;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6.3.3 </w:t>
      </w:r>
      <w:r>
        <w:rPr>
          <w:rFonts w:hint="default" w:ascii="Arial" w:hAnsi="Arial" w:cs="Arial"/>
          <w:bCs/>
          <w:iCs/>
          <w:lang w:eastAsia="en-US"/>
        </w:rPr>
        <w:t>Na ocorrência de rejeição das Notas Fiscais, motivada por erro ou incorreções, o prazo para pagamento estipulado acima passará a ser contado a partir da data de sua reapresentação.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eastAsia="en-US"/>
        </w:rPr>
      </w:pPr>
      <w:r>
        <w:rPr>
          <w:rFonts w:hint="default" w:ascii="Arial" w:hAnsi="Arial" w:cs="Arial"/>
          <w:bCs/>
          <w:iCs/>
          <w:lang w:val="pt-BR" w:eastAsia="en-US"/>
        </w:rPr>
        <w:t xml:space="preserve">6.3.4 </w:t>
      </w:r>
      <w:r>
        <w:rPr>
          <w:rFonts w:hint="default" w:ascii="Arial" w:hAnsi="Arial" w:cs="Arial"/>
          <w:bCs/>
          <w:iCs/>
          <w:lang w:eastAsia="en-US"/>
        </w:rPr>
        <w:t>Consoante o art. 45 da Lei n.º 9.784/99, a Administração Pública poderá, motivadamente e sem a prévia manifestação do interessado, adotar providências acauteladoras, inclusive retendo o pagamento, em caso de risco iminente, como forma de prevenir a ocorrência de dano de difícil ou impossível reparação.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eastAsiaTheme="majorEastAsia"/>
          <w:b w:val="0"/>
          <w:bCs w:val="0"/>
          <w:lang w:val="en-US" w:eastAsia="pt-BR"/>
        </w:rPr>
      </w:pPr>
      <w:r>
        <w:rPr>
          <w:rFonts w:hint="default" w:ascii="Arial" w:hAnsi="Arial" w:cs="Arial"/>
          <w:bCs/>
          <w:iCs/>
          <w:lang w:val="pt-BR" w:eastAsia="en-US"/>
        </w:rPr>
        <w:t xml:space="preserve">6.3.5 </w:t>
      </w:r>
      <w:r>
        <w:rPr>
          <w:rFonts w:hint="default" w:ascii="Arial" w:hAnsi="Arial" w:cs="Arial"/>
          <w:bCs/>
          <w:iCs/>
          <w:lang w:eastAsia="en-US"/>
        </w:rPr>
        <w:t>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pPr>
        <w:pStyle w:val="19"/>
        <w:widowControl/>
        <w:tabs>
          <w:tab w:val="left" w:pos="426"/>
        </w:tabs>
        <w:autoSpaceDE/>
        <w:autoSpaceDN/>
        <w:spacing w:before="120" w:after="120" w:line="276" w:lineRule="auto"/>
        <w:ind w:left="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w:t>
      </w:r>
      <w:r>
        <w:rPr>
          <w:rFonts w:hint="default" w:ascii="Arial" w:hAnsi="Arial" w:cs="Arial" w:eastAsiaTheme="majorEastAsia"/>
          <w:b/>
          <w:bCs/>
          <w:lang w:val="en-US" w:eastAsia="pt-BR"/>
        </w:rPr>
        <w:t>PRIMEIRA</w:t>
      </w:r>
      <w:r>
        <w:rPr>
          <w:rFonts w:ascii="Arial" w:hAnsi="Arial" w:cs="Arial" w:eastAsiaTheme="majorEastAsia"/>
          <w:b/>
          <w:bCs/>
          <w:lang w:val="pt-BR" w:eastAsia="pt-BR"/>
        </w:rPr>
        <w:t xml:space="preserve">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6" w:name="_Hlk114504069"/>
      <w:r>
        <w:rPr>
          <w:rStyle w:val="9"/>
          <w:rFonts w:ascii="Arial" w:hAnsi="Arial" w:eastAsia="Arial" w:cs="Arial"/>
        </w:rPr>
        <w:t>Lei nº 14.133, de 2021</w:t>
      </w:r>
      <w:bookmarkEnd w:id="16"/>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w:t>
      </w:r>
      <w:r>
        <w:rPr>
          <w:rFonts w:hint="default" w:ascii="Arial" w:hAnsi="Arial" w:eastAsia="Arial" w:cs="Arial"/>
          <w:lang w:val="pt-BR"/>
        </w:rPr>
        <w:t>1</w:t>
      </w:r>
      <w:r>
        <w:rPr>
          <w:rFonts w:ascii="Arial" w:hAnsi="Arial" w:eastAsia="Arial" w:cs="Arial"/>
        </w:rPr>
        <w:t>.1,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color w:val="auto"/>
        </w:rPr>
      </w:pPr>
      <w:r>
        <w:rPr>
          <w:rFonts w:ascii="Arial" w:hAnsi="Arial" w:eastAsia="Arial" w:cs="Arial"/>
        </w:rPr>
        <w:t>Compensatória, para a inexecução total do contrato prevista na alínea “c” do subitem 1</w:t>
      </w:r>
      <w:r>
        <w:rPr>
          <w:rFonts w:hint="default" w:ascii="Arial" w:hAnsi="Arial" w:eastAsia="Arial" w:cs="Arial"/>
          <w:lang w:val="pt-BR"/>
        </w:rPr>
        <w:t>1</w:t>
      </w:r>
      <w:r>
        <w:rPr>
          <w:rFonts w:ascii="Arial" w:hAnsi="Arial" w:eastAsia="Arial" w:cs="Arial"/>
        </w:rPr>
        <w:t xml:space="preserve">.1,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color w:val="auto"/>
        </w:rPr>
      </w:pPr>
      <w:r>
        <w:rPr>
          <w:rFonts w:ascii="Arial" w:hAnsi="Arial" w:eastAsia="Arial" w:cs="Arial"/>
          <w:color w:val="auto"/>
        </w:rPr>
        <w:t>Para infração descrita na alínea “b” do subitem 1</w:t>
      </w:r>
      <w:r>
        <w:rPr>
          <w:rFonts w:hint="default" w:ascii="Arial" w:hAnsi="Arial" w:eastAsia="Arial" w:cs="Arial"/>
          <w:color w:val="auto"/>
          <w:lang w:val="pt-BR"/>
        </w:rPr>
        <w:t>1</w:t>
      </w:r>
      <w:r>
        <w:rPr>
          <w:rFonts w:ascii="Arial" w:hAnsi="Arial" w:eastAsia="Arial" w:cs="Arial"/>
          <w:color w:val="auto"/>
        </w:rPr>
        <w:t>.1,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w:t>
      </w:r>
      <w:r>
        <w:rPr>
          <w:rFonts w:hint="default" w:ascii="Arial" w:hAnsi="Arial" w:eastAsia="Arial" w:cs="Arial"/>
          <w:lang w:val="pt-BR"/>
        </w:rPr>
        <w:t>1</w:t>
      </w:r>
      <w:r>
        <w:rPr>
          <w:rFonts w:ascii="Arial" w:hAnsi="Arial" w:eastAsia="Arial" w:cs="Arial"/>
        </w:rPr>
        <w:t>.1,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w:t>
      </w:r>
      <w:r>
        <w:rPr>
          <w:rFonts w:hint="default" w:ascii="Arial" w:hAnsi="Arial" w:eastAsia="Arial" w:cs="Arial"/>
          <w:lang w:val="pt-BR"/>
        </w:rPr>
        <w:t>1</w:t>
      </w:r>
      <w:r>
        <w:rPr>
          <w:rFonts w:ascii="Arial" w:hAnsi="Arial" w:eastAsia="Arial" w:cs="Arial"/>
        </w:rPr>
        <w:t>.1,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xml:space="preserve">- CLÁUSULA DÉCIMA </w:t>
      </w:r>
      <w:r>
        <w:rPr>
          <w:rFonts w:hint="default" w:ascii="Arial" w:hAnsi="Arial" w:cs="Arial"/>
          <w:sz w:val="22"/>
          <w:szCs w:val="22"/>
          <w:lang w:val="pt-BR"/>
        </w:rPr>
        <w:t>SEGUNDA</w:t>
      </w:r>
      <w:r>
        <w:rPr>
          <w:rFonts w:ascii="Arial" w:hAnsi="Arial" w:cs="Arial"/>
          <w:sz w:val="22"/>
          <w:szCs w:val="22"/>
        </w:rPr>
        <w:t xml:space="preserve">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w:t>
      </w:r>
      <w:r>
        <w:rPr>
          <w:rFonts w:hint="default" w:ascii="Arial" w:hAnsi="Arial" w:cs="Arial"/>
          <w:sz w:val="22"/>
          <w:szCs w:val="22"/>
          <w:lang w:val="pt-BR"/>
        </w:rPr>
        <w:t>TERCEIRA</w:t>
      </w:r>
      <w:r>
        <w:rPr>
          <w:rFonts w:ascii="Arial" w:hAnsi="Arial" w:cs="Arial"/>
          <w:sz w:val="22"/>
          <w:szCs w:val="22"/>
        </w:rPr>
        <w:t xml:space="preserve">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lang w:val="pt-BR"/>
        </w:rPr>
        <w:t xml:space="preserve">13.1 </w:t>
      </w:r>
      <w:r>
        <w:rPr>
          <w:rFonts w:hint="default" w:ascii="Arial" w:hAnsi="Arial" w:eastAsia="Arial" w:cs="Arial"/>
        </w:rPr>
        <w:t>As despesas decorrentes da presente contratação correrão à conta de recursos específicos consignados no Orçamento do Município, na forma abaixo:</w:t>
      </w:r>
    </w:p>
    <w:tbl>
      <w:tblPr>
        <w:tblStyle w:val="6"/>
        <w:tblW w:w="9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3003"/>
        <w:gridCol w:w="1725"/>
        <w:gridCol w:w="2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0"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b/>
                <w:bCs/>
              </w:rPr>
              <w:t>Órgão/ Unidade Orçamentária</w:t>
            </w:r>
          </w:p>
        </w:tc>
        <w:tc>
          <w:tcPr>
            <w:tcW w:w="3003"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b/>
                <w:bCs/>
              </w:rPr>
              <w:t>Programa de Trabalho</w:t>
            </w:r>
          </w:p>
        </w:tc>
        <w:tc>
          <w:tcPr>
            <w:tcW w:w="1725"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b/>
                <w:bCs/>
              </w:rPr>
              <w:t>Fonte de Recursos</w:t>
            </w:r>
          </w:p>
        </w:tc>
        <w:tc>
          <w:tcPr>
            <w:tcW w:w="2302"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b/>
                <w:bCs/>
              </w:rPr>
              <w:t>Natureza da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100"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lang w:val="pt-BR"/>
              </w:rPr>
            </w:pPr>
            <w:r>
              <w:rPr>
                <w:rFonts w:hint="default" w:ascii="Arial" w:hAnsi="Arial" w:eastAsia="Arial" w:cs="Arial"/>
                <w:lang w:val="pt-BR"/>
              </w:rPr>
              <w:t>SEIO</w:t>
            </w:r>
          </w:p>
        </w:tc>
        <w:tc>
          <w:tcPr>
            <w:tcW w:w="3003"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rPr>
              <w:t>16 002 15 452 0018 2.103</w:t>
            </w:r>
          </w:p>
        </w:tc>
        <w:tc>
          <w:tcPr>
            <w:tcW w:w="1725"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rPr>
              <w:t>150000000000</w:t>
            </w:r>
          </w:p>
        </w:tc>
        <w:tc>
          <w:tcPr>
            <w:tcW w:w="2302"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rPr>
              <w:t>339039 - 04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100"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lang w:val="pt-BR" w:eastAsia="pt-BR"/>
              </w:rPr>
            </w:pPr>
            <w:r>
              <w:rPr>
                <w:rFonts w:hint="default" w:ascii="Arial" w:hAnsi="Arial" w:eastAsia="Arial" w:cs="Arial"/>
                <w:lang w:val="pt-BR"/>
              </w:rPr>
              <w:t>SEIO</w:t>
            </w:r>
          </w:p>
        </w:tc>
        <w:tc>
          <w:tcPr>
            <w:tcW w:w="3003"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lang w:val="pt-BR" w:eastAsia="pt-BR"/>
              </w:rPr>
            </w:pPr>
            <w:r>
              <w:rPr>
                <w:rFonts w:hint="default" w:ascii="Arial" w:hAnsi="Arial" w:eastAsia="Arial" w:cs="Arial"/>
              </w:rPr>
              <w:t>16 002 15 452 0018 2.103</w:t>
            </w:r>
          </w:p>
        </w:tc>
        <w:tc>
          <w:tcPr>
            <w:tcW w:w="1725"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rPr>
              <w:t>172000000017</w:t>
            </w:r>
          </w:p>
        </w:tc>
        <w:tc>
          <w:tcPr>
            <w:tcW w:w="2302" w:type="dxa"/>
            <w:noWrap w:val="0"/>
            <w:tcMar>
              <w:left w:w="108" w:type="dxa"/>
            </w:tcMar>
            <w:vAlign w:val="top"/>
          </w:tcPr>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rPr>
              <w:t>339039 - 04</w:t>
            </w:r>
          </w:p>
        </w:tc>
      </w:tr>
    </w:tbl>
    <w:p>
      <w:pPr>
        <w:pStyle w:val="19"/>
        <w:numPr>
          <w:ilvl w:val="0"/>
          <w:numId w:val="0"/>
        </w:numPr>
        <w:tabs>
          <w:tab w:val="left" w:pos="426"/>
        </w:tabs>
        <w:ind w:leftChars="0"/>
        <w:jc w:val="both"/>
        <w:rPr>
          <w:rFonts w:hint="default" w:ascii="Arial" w:hAnsi="Arial" w:eastAsia="Arial" w:cs="Arial"/>
        </w:rPr>
      </w:pPr>
      <w:r>
        <w:rPr>
          <w:rFonts w:hint="default" w:ascii="Arial" w:hAnsi="Arial" w:eastAsia="Arial" w:cs="Arial"/>
          <w:lang w:val="pt-BR"/>
        </w:rPr>
        <w:t xml:space="preserve">13.2 </w:t>
      </w:r>
      <w:r>
        <w:rPr>
          <w:rFonts w:hint="default" w:ascii="Arial" w:hAnsi="Arial" w:eastAsia="Arial" w:cs="Arial"/>
        </w:rPr>
        <w:t>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bookmarkStart w:id="17" w:name="_GoBack"/>
      <w:bookmarkEnd w:id="17"/>
      <w:r>
        <w:rPr>
          <w:rFonts w:ascii="Arial" w:hAnsi="Arial" w:cs="Arial"/>
          <w:sz w:val="22"/>
          <w:szCs w:val="22"/>
        </w:rPr>
        <w:t xml:space="preserve"> CLÁUSULA DÉCIMA </w:t>
      </w:r>
      <w:r>
        <w:rPr>
          <w:rFonts w:hint="default" w:ascii="Arial" w:hAnsi="Arial" w:cs="Arial"/>
          <w:sz w:val="22"/>
          <w:szCs w:val="22"/>
          <w:lang w:val="pt-BR"/>
        </w:rPr>
        <w:t>QUARTA</w:t>
      </w:r>
      <w:r>
        <w:rPr>
          <w:rFonts w:ascii="Arial" w:hAnsi="Arial" w:cs="Arial"/>
          <w:sz w:val="22"/>
          <w:szCs w:val="22"/>
        </w:rPr>
        <w:t xml:space="preserve"> – ALTERAÇÕES</w:t>
      </w:r>
    </w:p>
    <w:p>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pPr>
        <w:pStyle w:val="19"/>
        <w:widowControl/>
        <w:tabs>
          <w:tab w:val="left" w:pos="426"/>
        </w:tabs>
        <w:autoSpaceDE/>
        <w:autoSpaceDN/>
        <w:spacing w:before="120" w:after="120" w:line="276" w:lineRule="auto"/>
        <w:ind w:left="0"/>
        <w:jc w:val="both"/>
      </w:pP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 xml:space="preserve">CLÁUSULA DÉCIMA </w:t>
      </w:r>
      <w:r>
        <w:rPr>
          <w:rFonts w:hint="default"/>
          <w:sz w:val="22"/>
          <w:szCs w:val="22"/>
          <w:lang w:val="pt-BR"/>
        </w:rPr>
        <w:t>QUINTA</w:t>
      </w:r>
      <w:r>
        <w:rPr>
          <w:sz w:val="22"/>
          <w:szCs w:val="22"/>
        </w:rPr>
        <w:t xml:space="preserve"> – PUBLICAÇÃO</w:t>
      </w:r>
    </w:p>
    <w:p>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pPr>
        <w:pStyle w:val="19"/>
        <w:tabs>
          <w:tab w:val="left" w:pos="426"/>
        </w:tabs>
        <w:ind w:left="0"/>
        <w:jc w:val="both"/>
      </w:pPr>
    </w:p>
    <w:p>
      <w:pPr>
        <w:pStyle w:val="44"/>
        <w:numPr>
          <w:ilvl w:val="0"/>
          <w:numId w:val="3"/>
        </w:numPr>
        <w:rPr>
          <w:sz w:val="22"/>
          <w:szCs w:val="22"/>
        </w:rPr>
      </w:pPr>
      <w:r>
        <w:rPr>
          <w:sz w:val="22"/>
          <w:szCs w:val="22"/>
        </w:rPr>
        <w:t xml:space="preserve">- CLÁUSULA DÉCIMA </w:t>
      </w:r>
      <w:r>
        <w:rPr>
          <w:rFonts w:hint="default"/>
          <w:sz w:val="22"/>
          <w:szCs w:val="22"/>
          <w:lang w:val="pt-BR"/>
        </w:rPr>
        <w:t>SEXTA</w:t>
      </w:r>
      <w:r>
        <w:rPr>
          <w:sz w:val="22"/>
          <w:szCs w:val="22"/>
        </w:rPr>
        <w:t>–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pPr>
        <w:pStyle w:val="19"/>
        <w:tabs>
          <w:tab w:val="left" w:pos="426"/>
        </w:tabs>
        <w:ind w:left="0"/>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2" w:leftChars="-100" w:right="53" w:rightChars="24" w:hanging="218" w:hangingChars="78"/>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989955" cy="945515"/>
          <wp:effectExtent l="0" t="0" r="0" b="0"/>
          <wp:docPr id="1" name="Imagem 1" descr="Secretaria de Infraestrutura e Ob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Infraestrutura e Obras"/>
                  <pic:cNvPicPr>
                    <a:picLocks noChangeAspect="1"/>
                  </pic:cNvPicPr>
                </pic:nvPicPr>
                <pic:blipFill>
                  <a:blip r:embed="rId1"/>
                  <a:stretch>
                    <a:fillRect/>
                  </a:stretch>
                </pic:blipFill>
                <pic:spPr>
                  <a:xfrm>
                    <a:off x="0" y="0"/>
                    <a:ext cx="5989955" cy="94551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3F241CB"/>
    <w:rsid w:val="068C32D5"/>
    <w:rsid w:val="06EB2750"/>
    <w:rsid w:val="11CC2ACE"/>
    <w:rsid w:val="125D12F3"/>
    <w:rsid w:val="14651265"/>
    <w:rsid w:val="16CF35F9"/>
    <w:rsid w:val="1AF72D93"/>
    <w:rsid w:val="1CE94C7E"/>
    <w:rsid w:val="1FD12E07"/>
    <w:rsid w:val="24BE1FCE"/>
    <w:rsid w:val="25EB5EDB"/>
    <w:rsid w:val="2768429D"/>
    <w:rsid w:val="2BBD0952"/>
    <w:rsid w:val="2C452D6E"/>
    <w:rsid w:val="2E1275C8"/>
    <w:rsid w:val="31D357D7"/>
    <w:rsid w:val="3C4D19A5"/>
    <w:rsid w:val="3C9967A2"/>
    <w:rsid w:val="3D361311"/>
    <w:rsid w:val="3E7E7594"/>
    <w:rsid w:val="408C7ECA"/>
    <w:rsid w:val="42FB7C6F"/>
    <w:rsid w:val="44FA58FC"/>
    <w:rsid w:val="4696565B"/>
    <w:rsid w:val="4B71532F"/>
    <w:rsid w:val="4C721578"/>
    <w:rsid w:val="4FB2334F"/>
    <w:rsid w:val="501F24D5"/>
    <w:rsid w:val="516A16BF"/>
    <w:rsid w:val="55801045"/>
    <w:rsid w:val="568B4284"/>
    <w:rsid w:val="5A1364E4"/>
    <w:rsid w:val="5C237373"/>
    <w:rsid w:val="5C401B4E"/>
    <w:rsid w:val="623C6820"/>
    <w:rsid w:val="63130619"/>
    <w:rsid w:val="64AA1822"/>
    <w:rsid w:val="64E84D1C"/>
    <w:rsid w:val="65135B60"/>
    <w:rsid w:val="68532C20"/>
    <w:rsid w:val="68CE715B"/>
    <w:rsid w:val="69137328"/>
    <w:rsid w:val="6AE517EE"/>
    <w:rsid w:val="6B794260"/>
    <w:rsid w:val="6F782DA8"/>
    <w:rsid w:val="749B1192"/>
    <w:rsid w:val="77B2358A"/>
    <w:rsid w:val="7B91351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5411</Words>
  <Characters>30873</Characters>
  <Lines>276</Lines>
  <Paragraphs>78</Paragraphs>
  <TotalTime>2</TotalTime>
  <ScaleCrop>false</ScaleCrop>
  <LinksUpToDate>false</LinksUpToDate>
  <CharactersWithSpaces>36104</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2026-04-14T17:49:26Z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5BDC8CEBA3E94F8CA249749E2E807F87_12</vt:lpwstr>
  </property>
</Properties>
</file>